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0"/>
        <w:ind w:firstLine="709"/>
        <w:jc w:val="right"/>
        <w:rPr>
          <w:color w:themeColor="text1" w:val="000000"/>
          <w:sz w:val="28"/>
        </w:rPr>
      </w:pPr>
      <w:bookmarkStart w:id="1" w:name="_GoBack"/>
      <w:bookmarkEnd w:id="1"/>
      <w:r>
        <w:rPr>
          <w:color w:themeColor="text1" w:val="000000"/>
          <w:sz w:val="28"/>
        </w:rPr>
        <w:t>Приложение</w:t>
      </w:r>
    </w:p>
    <w:p w14:paraId="02000000">
      <w:pPr>
        <w:pStyle w:val="Style_1"/>
        <w:spacing w:after="0" w:before="0"/>
        <w:ind w:firstLine="709"/>
        <w:jc w:val="right"/>
        <w:rPr>
          <w:color w:themeColor="text1" w:val="000000"/>
          <w:sz w:val="28"/>
        </w:rPr>
      </w:pPr>
    </w:p>
    <w:p w14:paraId="03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 1 сентября текущего года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началось</w:t>
      </w:r>
      <w:r>
        <w:rPr>
          <w:color w:themeColor="text1" w:val="000000"/>
          <w:sz w:val="28"/>
        </w:rPr>
        <w:t xml:space="preserve"> обучение более чем по 30 новым программам проекта «Цифровые профессии». Проект является частью национальной программы «Цифровая экономика» и позволяет получить ИТ-образование за половину стоимости.</w:t>
      </w:r>
    </w:p>
    <w:p w14:paraId="04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«В этом году в проекте «Цифровые профессии» участвуют ключевые</w:t>
      </w:r>
      <w:r>
        <w:rPr>
          <w:color w:themeColor="text1" w:val="000000"/>
          <w:sz w:val="28"/>
        </w:rPr>
        <w:t xml:space="preserve"> </w:t>
      </w:r>
      <w:r>
        <w:rPr>
          <w:i w:val="1"/>
          <w:color w:themeColor="text1" w:val="000000"/>
          <w:sz w:val="28"/>
        </w:rPr>
        <w:t>игроки рынка онлайн-образования и ведущие российские технические вузы. Прежде чем появиться в каталоге Университета 2035, каждая образовательная организация и программа проходят строгий экспертный отбор. В зависимости от темпа обучения и количества часов некоторые программы можно пройти за 3,5 месяца, а есть и более продолжительные, где учеба будет длиться более полутора лет»,</w:t>
      </w:r>
      <w:r>
        <w:rPr>
          <w:color w:themeColor="text1" w:val="000000"/>
          <w:sz w:val="28"/>
        </w:rPr>
        <w:t xml:space="preserve"> – отметила ректор Университета 2035 Нина Яныкина.</w:t>
      </w:r>
    </w:p>
    <w:p w14:paraId="05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ближайшее время</w:t>
      </w:r>
      <w:r>
        <w:rPr>
          <w:color w:themeColor="text1" w:val="000000"/>
          <w:sz w:val="28"/>
        </w:rPr>
        <w:t xml:space="preserve"> откроются такие курсы, как DataScience, Веб-аналитика, ProductManager, Мобильная разработка, Разработчик Python, Технологии анализа данных, Тестирование ПО, Технологии искусственного интеллекта, Веб-разработка, Разработчик C++ и другие. Их предоставили Нетология, Яндекс.Практикум, Университет Иннополис, ИТМО, Центр образовательных компетенций НТИ, Инвольта Образование.</w:t>
      </w:r>
    </w:p>
    <w:p w14:paraId="06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дальнейшем</w:t>
      </w:r>
      <w:r>
        <w:rPr>
          <w:color w:themeColor="text1" w:val="000000"/>
          <w:sz w:val="28"/>
        </w:rPr>
        <w:t xml:space="preserve"> новые программы предоставят и другие образовательные организации: GeekBrains, Skillfactory, Skyeng, 1С-Образование, HackerU, Финансовый университет при Правительстве Российской Федерации, МГТУ им. Н. Э. Баумана, РЭУ им. Г. В. Плеханова и другие.</w:t>
      </w:r>
    </w:p>
    <w:p w14:paraId="07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«В начале учебного года традиционно возрастает спрос на обучающие программы. На сегодняшний день на участие в проекте уже подали заявки более 4 тысяч человек. Учитывая, что на этот год запланировано всего 5 тысяч мест, желающим нужно торопиться. За период всей программы – до конца 2024 года – обучение пройдут минимум 110 тысяч человек»,</w:t>
      </w:r>
      <w:r>
        <w:rPr>
          <w:color w:themeColor="text1" w:val="000000"/>
          <w:sz w:val="28"/>
        </w:rPr>
        <w:t xml:space="preserve"> – сказала директор департамента координации программ и проектов Минцифры России Татьяна Трубникова.</w:t>
      </w:r>
    </w:p>
    <w:p w14:paraId="08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Напоминаем, что принять участие в проекте могут граждане России старше 16 лет с дипломом о среднем профессиональном или высшем образовании. Слушатели смогут приступить к обучению после выбора программы в каталоге и оплаты 50% стоимости курса в соответствии с договором. На данный момент стоимость программ начинается от 18 тысяч рублей – столько стоит обучение на программе длиной в 4,5 месяца по программе «Веб-разработчик».</w:t>
      </w:r>
    </w:p>
    <w:p w14:paraId="09000000">
      <w:pPr>
        <w:pStyle w:val="Style_1"/>
        <w:spacing w:after="0" w:before="0"/>
        <w:ind w:firstLine="709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Расписание и полный перечень программ доступен в каталоге оператора проекта Университета 2035: </w:t>
      </w:r>
      <w:r>
        <w:rPr>
          <w:rStyle w:val="Style_2_ch"/>
          <w:color w:themeColor="text1" w:val="000000"/>
          <w:sz w:val="28"/>
          <w:u w:val="none"/>
        </w:rPr>
        <w:fldChar w:fldCharType="begin"/>
      </w:r>
      <w:r>
        <w:rPr>
          <w:rStyle w:val="Style_2_ch"/>
          <w:color w:themeColor="text1" w:val="000000"/>
          <w:sz w:val="28"/>
          <w:u w:val="none"/>
        </w:rPr>
        <w:instrText>HYPERLINK "https://profidigital.ru/catalog"</w:instrText>
      </w:r>
      <w:r>
        <w:rPr>
          <w:rStyle w:val="Style_2_ch"/>
          <w:color w:themeColor="text1" w:val="000000"/>
          <w:sz w:val="28"/>
          <w:u w:val="none"/>
        </w:rPr>
        <w:fldChar w:fldCharType="separate"/>
      </w:r>
      <w:r>
        <w:rPr>
          <w:rStyle w:val="Style_2_ch"/>
          <w:color w:themeColor="text1" w:val="000000"/>
          <w:sz w:val="28"/>
          <w:u w:val="none"/>
        </w:rPr>
        <w:t>https://profidigital.ru/catalog</w:t>
      </w:r>
      <w:r>
        <w:rPr>
          <w:rStyle w:val="Style_2_ch"/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</w:rPr>
        <w:t>.</w:t>
      </w:r>
    </w:p>
    <w:p w14:paraId="0A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1" w:type="paragraph">
    <w:name w:val="Normal (Web)"/>
    <w:basedOn w:val="Style_3"/>
    <w:link w:val="Style_1_ch"/>
    <w:pPr>
      <w:spacing w:afterAutospacing="on" w:beforeAutospacing="on"/>
      <w:ind w:firstLine="0"/>
      <w:jc w:val="left"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"/>
    <w:link w:val="Style_9_ch"/>
    <w:pPr>
      <w:ind w:firstLine="0"/>
      <w:jc w:val="left"/>
    </w:pPr>
    <w:rPr>
      <w:rFonts w:ascii="Times New Roman" w:hAnsi="Times New Roman"/>
      <w:color w:val="000000"/>
      <w:sz w:val="24"/>
    </w:rPr>
  </w:style>
  <w:style w:styleId="Style_9_ch" w:type="character">
    <w:name w:val="Default"/>
    <w:link w:val="Style_9"/>
    <w:rPr>
      <w:rFonts w:ascii="Times New Roman" w:hAnsi="Times New Roman"/>
      <w:color w:val="000000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val="0000FF"/>
      <w:u w:val="single"/>
    </w:rPr>
  </w:style>
  <w:style w:styleId="Style_2_ch" w:type="character">
    <w:name w:val="Hyperlink"/>
    <w:basedOn w:val="Style_10_ch"/>
    <w:link w:val="Style_2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2021-09-30T12:33:36Z</dcterms:modified>
</cp:coreProperties>
</file>